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B16EE" w14:textId="77777777" w:rsidR="00CE1CC7" w:rsidRDefault="00CE1CC7" w:rsidP="002A62B5">
      <w:pPr>
        <w:pStyle w:val="Normal1"/>
        <w:spacing w:line="240" w:lineRule="atLeast"/>
        <w:rPr>
          <w:rStyle w:val="normalchar1"/>
        </w:rPr>
      </w:pPr>
      <w:r w:rsidRPr="00CE1CC7">
        <w:rPr>
          <w:rStyle w:val="normalchar1"/>
          <w:b/>
        </w:rPr>
        <w:t>Abstract for GLAD Conference Presentation</w:t>
      </w:r>
      <w:r w:rsidRPr="00CE1CC7">
        <w:rPr>
          <w:rStyle w:val="normalchar1"/>
        </w:rPr>
        <w:br/>
        <w:t xml:space="preserve">Sheffield </w:t>
      </w:r>
      <w:proofErr w:type="spellStart"/>
      <w:r w:rsidRPr="00CE1CC7">
        <w:rPr>
          <w:rStyle w:val="normalchar1"/>
        </w:rPr>
        <w:t>Hallum</w:t>
      </w:r>
      <w:proofErr w:type="spellEnd"/>
      <w:r w:rsidRPr="00CE1CC7">
        <w:rPr>
          <w:rStyle w:val="normalchar1"/>
        </w:rPr>
        <w:t xml:space="preserve"> University</w:t>
      </w:r>
    </w:p>
    <w:p w14:paraId="368B9E19" w14:textId="77777777" w:rsidR="00CE1CC7" w:rsidRPr="00CE1CC7" w:rsidRDefault="00CE1CC7" w:rsidP="002A62B5">
      <w:pPr>
        <w:pStyle w:val="Normal1"/>
        <w:spacing w:line="240" w:lineRule="atLeast"/>
        <w:rPr>
          <w:rStyle w:val="normalchar1"/>
        </w:rPr>
      </w:pPr>
      <w:r w:rsidRPr="00CE1CC7">
        <w:rPr>
          <w:rStyle w:val="normalchar1"/>
        </w:rPr>
        <w:t>27</w:t>
      </w:r>
      <w:r w:rsidRPr="00CE1CC7">
        <w:rPr>
          <w:rStyle w:val="normalchar1"/>
          <w:vertAlign w:val="superscript"/>
        </w:rPr>
        <w:t>th</w:t>
      </w:r>
      <w:r w:rsidRPr="00CE1CC7">
        <w:rPr>
          <w:rStyle w:val="normalchar1"/>
        </w:rPr>
        <w:t xml:space="preserve"> February 2014</w:t>
      </w:r>
    </w:p>
    <w:p w14:paraId="253D05D1" w14:textId="77777777" w:rsidR="00CE1CC7" w:rsidRDefault="00CE1CC7" w:rsidP="002A62B5">
      <w:pPr>
        <w:pStyle w:val="Normal1"/>
        <w:spacing w:line="240" w:lineRule="atLeast"/>
        <w:rPr>
          <w:rStyle w:val="normalchar1"/>
          <w:color w:val="0000FF"/>
        </w:rPr>
      </w:pPr>
    </w:p>
    <w:p w14:paraId="3114E982" w14:textId="77777777" w:rsidR="002A62B5" w:rsidRDefault="002A62B5" w:rsidP="002A62B5">
      <w:pPr>
        <w:pStyle w:val="Normal1"/>
        <w:spacing w:line="240" w:lineRule="atLeast"/>
      </w:pPr>
      <w:r>
        <w:rPr>
          <w:rStyle w:val="normalchar1"/>
          <w:color w:val="0000FF"/>
        </w:rPr>
        <w:t>Title of presentation:</w:t>
      </w:r>
    </w:p>
    <w:p w14:paraId="6849B4B1" w14:textId="77777777" w:rsidR="00AB57F1" w:rsidRPr="00AB57F1" w:rsidRDefault="00AB57F1" w:rsidP="00AB57F1">
      <w:pPr>
        <w:rPr>
          <w:rFonts w:ascii="Arial" w:hAnsi="Arial"/>
          <w:sz w:val="24"/>
          <w:szCs w:val="24"/>
        </w:rPr>
      </w:pPr>
      <w:r w:rsidRPr="00AB57F1">
        <w:rPr>
          <w:rFonts w:ascii="Arial" w:hAnsi="Arial"/>
          <w:sz w:val="24"/>
          <w:szCs w:val="24"/>
        </w:rPr>
        <w:t xml:space="preserve">A place of my own: reflective, formative spaces for learning teaching and assessment </w:t>
      </w:r>
      <w:bookmarkStart w:id="0" w:name="_GoBack"/>
      <w:bookmarkEnd w:id="0"/>
    </w:p>
    <w:p w14:paraId="137768DE" w14:textId="77777777" w:rsidR="002A62B5" w:rsidRPr="00AB57F1" w:rsidRDefault="002A62B5" w:rsidP="002A62B5">
      <w:pPr>
        <w:pStyle w:val="Normal1"/>
      </w:pPr>
      <w:r w:rsidRPr="00AB57F1">
        <w:t> </w:t>
      </w:r>
    </w:p>
    <w:p w14:paraId="66FEC751" w14:textId="77777777" w:rsidR="00C84AD3" w:rsidRPr="00CE17B9" w:rsidRDefault="002A62B5" w:rsidP="002A62B5">
      <w:pPr>
        <w:pStyle w:val="Normal1"/>
        <w:spacing w:line="240" w:lineRule="atLeast"/>
        <w:rPr>
          <w:color w:val="0000FF"/>
        </w:rPr>
      </w:pPr>
      <w:r w:rsidRPr="00CE17B9">
        <w:rPr>
          <w:color w:val="0000FF"/>
        </w:rPr>
        <w:t xml:space="preserve">Theme: </w:t>
      </w:r>
    </w:p>
    <w:p w14:paraId="573150E1" w14:textId="77777777" w:rsidR="002A62B5" w:rsidRDefault="00493B95" w:rsidP="002A62B5">
      <w:pPr>
        <w:pStyle w:val="Normal1"/>
        <w:spacing w:line="240" w:lineRule="atLeast"/>
      </w:pPr>
      <w:r>
        <w:t>Creating learning rich studios for students and course teams</w:t>
      </w:r>
    </w:p>
    <w:p w14:paraId="19F8BB81" w14:textId="77777777" w:rsidR="002A62B5" w:rsidRDefault="002A62B5" w:rsidP="002A62B5">
      <w:pPr>
        <w:pStyle w:val="Normal1"/>
      </w:pPr>
      <w:r>
        <w:t> </w:t>
      </w:r>
    </w:p>
    <w:p w14:paraId="763E0FB0" w14:textId="77777777" w:rsidR="002A62B5" w:rsidRDefault="002A62B5" w:rsidP="002A62B5">
      <w:pPr>
        <w:pStyle w:val="Normal1"/>
        <w:spacing w:line="240" w:lineRule="atLeast"/>
      </w:pPr>
      <w:r>
        <w:rPr>
          <w:rStyle w:val="normalchar1"/>
          <w:color w:val="0000FF"/>
        </w:rPr>
        <w:t>Authors:</w:t>
      </w:r>
    </w:p>
    <w:p w14:paraId="45ECCC3F" w14:textId="77777777" w:rsidR="002A62B5" w:rsidRDefault="002A62B5" w:rsidP="002A62B5">
      <w:pPr>
        <w:pStyle w:val="Normal1"/>
        <w:spacing w:line="240" w:lineRule="atLeast"/>
      </w:pPr>
      <w:r>
        <w:t>Sheelagh Wright, Maria Tannant and Annamarie McKie, University for the Creative Arts</w:t>
      </w:r>
    </w:p>
    <w:p w14:paraId="286469BA" w14:textId="77777777" w:rsidR="002A62B5" w:rsidRDefault="002A62B5" w:rsidP="002A62B5">
      <w:pPr>
        <w:pStyle w:val="Normal1"/>
      </w:pPr>
      <w:r>
        <w:t> </w:t>
      </w:r>
    </w:p>
    <w:p w14:paraId="2F38BA12" w14:textId="77777777" w:rsidR="002A62B5" w:rsidRDefault="002A62B5" w:rsidP="002A62B5">
      <w:pPr>
        <w:pStyle w:val="Normal1"/>
        <w:spacing w:line="240" w:lineRule="atLeast"/>
      </w:pPr>
      <w:r>
        <w:rPr>
          <w:rStyle w:val="normalchar1"/>
          <w:color w:val="0000FF"/>
        </w:rPr>
        <w:t>Keywords:</w:t>
      </w:r>
    </w:p>
    <w:p w14:paraId="2E47128A" w14:textId="77777777" w:rsidR="002A62B5" w:rsidRDefault="002A62B5" w:rsidP="002A62B5">
      <w:pPr>
        <w:pStyle w:val="plain0020text"/>
      </w:pPr>
      <w:r>
        <w:rPr>
          <w:rStyle w:val="plain0020textchar1"/>
          <w:rFonts w:ascii="Arial" w:hAnsi="Arial" w:cs="Arial"/>
          <w:sz w:val="24"/>
          <w:szCs w:val="24"/>
        </w:rPr>
        <w:t xml:space="preserve">Active learning, </w:t>
      </w:r>
      <w:r w:rsidR="00402947">
        <w:rPr>
          <w:rStyle w:val="plain0020textchar1"/>
          <w:rFonts w:ascii="Arial" w:hAnsi="Arial" w:cs="Arial"/>
          <w:sz w:val="24"/>
          <w:szCs w:val="24"/>
        </w:rPr>
        <w:t xml:space="preserve">formative </w:t>
      </w:r>
      <w:proofErr w:type="gramStart"/>
      <w:r w:rsidR="00402947">
        <w:rPr>
          <w:rStyle w:val="plain0020textchar1"/>
          <w:rFonts w:ascii="Arial" w:hAnsi="Arial" w:cs="Arial"/>
          <w:sz w:val="24"/>
          <w:szCs w:val="24"/>
        </w:rPr>
        <w:t>feedback ,</w:t>
      </w:r>
      <w:proofErr w:type="gramEnd"/>
      <w:r w:rsidR="00402947">
        <w:rPr>
          <w:rStyle w:val="plain0020textchar1"/>
          <w:rFonts w:ascii="Arial" w:hAnsi="Arial" w:cs="Arial"/>
          <w:sz w:val="24"/>
          <w:szCs w:val="24"/>
        </w:rPr>
        <w:t xml:space="preserve"> autonomous learning,  feed-forward, </w:t>
      </w:r>
      <w:r w:rsidR="00CE17B9">
        <w:rPr>
          <w:rStyle w:val="plain0020textchar1"/>
          <w:rFonts w:ascii="Arial" w:hAnsi="Arial" w:cs="Arial"/>
          <w:sz w:val="24"/>
          <w:szCs w:val="24"/>
        </w:rPr>
        <w:t xml:space="preserve">reflective, </w:t>
      </w:r>
      <w:r w:rsidR="00402947">
        <w:rPr>
          <w:rStyle w:val="plain0020textchar1"/>
          <w:rFonts w:ascii="Arial" w:hAnsi="Arial" w:cs="Arial"/>
          <w:sz w:val="24"/>
          <w:szCs w:val="24"/>
        </w:rPr>
        <w:t>assessment</w:t>
      </w:r>
    </w:p>
    <w:p w14:paraId="779F1557" w14:textId="77777777" w:rsidR="00402947" w:rsidRDefault="00402947" w:rsidP="00402947">
      <w:pPr>
        <w:pStyle w:val="Normal1"/>
      </w:pPr>
      <w:r>
        <w:t> </w:t>
      </w:r>
    </w:p>
    <w:p w14:paraId="2D02A950" w14:textId="77777777" w:rsidR="002A12C4" w:rsidRDefault="00402947" w:rsidP="00402947">
      <w:pPr>
        <w:pStyle w:val="Normal1"/>
      </w:pPr>
      <w:r>
        <w:t xml:space="preserve">Many researchers have highlighted the widespread concern over learner motivation and persistence in mass higher education (Tinto, 1994; </w:t>
      </w:r>
      <w:proofErr w:type="spellStart"/>
      <w:r>
        <w:t>Yorke</w:t>
      </w:r>
      <w:proofErr w:type="spellEnd"/>
      <w:r>
        <w:t xml:space="preserve">, 1999).  </w:t>
      </w:r>
      <w:r w:rsidR="002A62B5">
        <w:t xml:space="preserve">Formative and </w:t>
      </w:r>
      <w:proofErr w:type="spellStart"/>
      <w:r w:rsidR="002A62B5">
        <w:t>ipsative</w:t>
      </w:r>
      <w:proofErr w:type="spellEnd"/>
      <w:r w:rsidR="002A62B5">
        <w:t xml:space="preserve"> (</w:t>
      </w:r>
      <w:proofErr w:type="spellStart"/>
      <w:r w:rsidR="002A62B5">
        <w:t>ongoing</w:t>
      </w:r>
      <w:proofErr w:type="spellEnd"/>
      <w:r w:rsidR="002A62B5">
        <w:t>) feedback</w:t>
      </w:r>
      <w:r>
        <w:t xml:space="preserve"> is central to the </w:t>
      </w:r>
      <w:r w:rsidR="008A0CD2">
        <w:t xml:space="preserve">studio </w:t>
      </w:r>
      <w:r>
        <w:t xml:space="preserve">learning experience in art and design, </w:t>
      </w:r>
      <w:r w:rsidR="005B1C60">
        <w:t xml:space="preserve">potentially giving students </w:t>
      </w:r>
      <w:r w:rsidR="008A0CD2">
        <w:t>rich formative experiences, in which to becom</w:t>
      </w:r>
      <w:r w:rsidR="00CE17B9">
        <w:t xml:space="preserve">e active participants in their </w:t>
      </w:r>
      <w:r w:rsidR="008A0CD2">
        <w:t>own learning</w:t>
      </w:r>
      <w:r w:rsidR="005B1C60">
        <w:t>.  However, whilst the benefits to student learning, are recognised, the practicalities of giving</w:t>
      </w:r>
      <w:r w:rsidR="00AC382A">
        <w:t xml:space="preserve"> and receiving feedback remain </w:t>
      </w:r>
      <w:r w:rsidR="005B1C60">
        <w:t>a c</w:t>
      </w:r>
      <w:r>
        <w:t>hallenging aspect of the teaching and learning process</w:t>
      </w:r>
      <w:r w:rsidR="005B1C60">
        <w:t xml:space="preserve"> (Blair, 2011), typified by dependency on the tutor and </w:t>
      </w:r>
      <w:r w:rsidR="00AC382A">
        <w:t xml:space="preserve">a fixation on grades.  </w:t>
      </w:r>
      <w:proofErr w:type="spellStart"/>
      <w:r>
        <w:t>Nicol</w:t>
      </w:r>
      <w:proofErr w:type="spellEnd"/>
      <w:r>
        <w:t xml:space="preserve"> and Macfarlane-Dick (2006) </w:t>
      </w:r>
      <w:r w:rsidR="00AC382A">
        <w:t xml:space="preserve">explored </w:t>
      </w:r>
      <w:r w:rsidR="008A0CD2">
        <w:t>the potential of formative assessment to shift learners away from extrinsic motivation to towards intrinsic motivation and autonomous learning.  In an</w:t>
      </w:r>
      <w:r w:rsidR="00AC382A">
        <w:t xml:space="preserve"> art and design context, t</w:t>
      </w:r>
      <w:r w:rsidR="009111BC">
        <w:t>his</w:t>
      </w:r>
      <w:r w:rsidR="005271E7">
        <w:t xml:space="preserve"> ‘learning journey’ might be characterised by </w:t>
      </w:r>
      <w:r w:rsidR="002A62B5">
        <w:t xml:space="preserve">student presentations, portfolio reviews, </w:t>
      </w:r>
      <w:r w:rsidR="009111BC">
        <w:t xml:space="preserve">peer assessment and </w:t>
      </w:r>
      <w:r w:rsidR="005271E7">
        <w:t>critiques (</w:t>
      </w:r>
      <w:proofErr w:type="spellStart"/>
      <w:r w:rsidR="009111BC">
        <w:t>crits</w:t>
      </w:r>
      <w:proofErr w:type="spellEnd"/>
      <w:r w:rsidR="009111BC">
        <w:t xml:space="preserve">). These </w:t>
      </w:r>
      <w:r w:rsidR="00AC382A">
        <w:t xml:space="preserve">rich learning experiences </w:t>
      </w:r>
      <w:r w:rsidR="002A12C4">
        <w:t>provide students with</w:t>
      </w:r>
      <w:r w:rsidR="009111BC">
        <w:t xml:space="preserve"> diverse, sometimes conflicting</w:t>
      </w:r>
      <w:r w:rsidR="001061EB">
        <w:t>,</w:t>
      </w:r>
      <w:r w:rsidR="009111BC">
        <w:t xml:space="preserve"> </w:t>
      </w:r>
      <w:r w:rsidR="00D27AF9">
        <w:t xml:space="preserve">formative assessment </w:t>
      </w:r>
      <w:r w:rsidR="00EA1570">
        <w:t>points</w:t>
      </w:r>
      <w:r w:rsidR="009111BC">
        <w:t xml:space="preserve"> in which </w:t>
      </w:r>
      <w:r w:rsidR="002A12C4">
        <w:t xml:space="preserve">they </w:t>
      </w:r>
      <w:r w:rsidR="009111BC">
        <w:t xml:space="preserve">are </w:t>
      </w:r>
      <w:r w:rsidR="00AC382A">
        <w:t>expected to be autonomous learners</w:t>
      </w:r>
      <w:r w:rsidR="009111BC">
        <w:t>.</w:t>
      </w:r>
      <w:r w:rsidR="002A12C4">
        <w:t xml:space="preserve"> </w:t>
      </w:r>
      <w:r w:rsidR="001061EB">
        <w:t xml:space="preserve"> </w:t>
      </w:r>
      <w:r w:rsidR="00493B95">
        <w:t>Students often describe troubling accounts of these experiences</w:t>
      </w:r>
      <w:r w:rsidR="002909A2">
        <w:t>:</w:t>
      </w:r>
    </w:p>
    <w:p w14:paraId="5A261B88" w14:textId="77777777" w:rsidR="002A12C4" w:rsidRDefault="002A12C4" w:rsidP="002A62B5">
      <w:pPr>
        <w:pStyle w:val="Normal1"/>
        <w:spacing w:line="240" w:lineRule="atLeast"/>
      </w:pPr>
    </w:p>
    <w:p w14:paraId="02FB1676" w14:textId="77777777" w:rsidR="002A62B5" w:rsidRDefault="002A12C4" w:rsidP="002909A2">
      <w:pPr>
        <w:pStyle w:val="Normal1"/>
        <w:spacing w:line="240" w:lineRule="atLeast"/>
        <w:ind w:left="720"/>
      </w:pPr>
      <w:r>
        <w:t>“Our tutor will say great, love it and then two weeks later in another formative review, another tutors says scrap it…</w:t>
      </w:r>
      <w:r w:rsidR="00493B95">
        <w:t>I am really confused now and don’t know how to develop my work…</w:t>
      </w:r>
      <w:r>
        <w:t xml:space="preserve">” (UCA student, March 2013 ‘What’s behind the NSS’ </w:t>
      </w:r>
      <w:r w:rsidR="00053E45">
        <w:rPr>
          <w:rStyle w:val="FootnoteReference"/>
        </w:rPr>
        <w:footnoteReference w:id="1"/>
      </w:r>
      <w:r>
        <w:t xml:space="preserve">research) </w:t>
      </w:r>
    </w:p>
    <w:p w14:paraId="75996F7A" w14:textId="77777777" w:rsidR="00761A30" w:rsidRDefault="002A62B5" w:rsidP="00761A30">
      <w:pPr>
        <w:pStyle w:val="Normal1"/>
      </w:pPr>
      <w:r>
        <w:t> </w:t>
      </w:r>
    </w:p>
    <w:p w14:paraId="1A568786" w14:textId="60DA5FA6" w:rsidR="002A62B5" w:rsidRDefault="001061EB" w:rsidP="00937A5C">
      <w:pPr>
        <w:pStyle w:val="Normal1"/>
      </w:pPr>
      <w:r>
        <w:t xml:space="preserve">This </w:t>
      </w:r>
      <w:r w:rsidR="00AB57F1">
        <w:t>poster session</w:t>
      </w:r>
      <w:r>
        <w:t xml:space="preserve"> explores </w:t>
      </w:r>
      <w:r w:rsidR="002A62B5" w:rsidRPr="00493B95">
        <w:rPr>
          <w:i/>
        </w:rPr>
        <w:t>The Learning Journey</w:t>
      </w:r>
      <w:r w:rsidR="00493B95">
        <w:rPr>
          <w:i/>
        </w:rPr>
        <w:t xml:space="preserve"> </w:t>
      </w:r>
      <w:r>
        <w:rPr>
          <w:i/>
        </w:rPr>
        <w:t xml:space="preserve">project </w:t>
      </w:r>
      <w:r w:rsidRPr="00761A30">
        <w:t>on the</w:t>
      </w:r>
      <w:r>
        <w:rPr>
          <w:i/>
        </w:rPr>
        <w:t xml:space="preserve"> </w:t>
      </w:r>
      <w:r w:rsidR="005271E7">
        <w:t>U</w:t>
      </w:r>
      <w:r w:rsidR="00761A30">
        <w:t xml:space="preserve">niversity for the Creative Arts </w:t>
      </w:r>
      <w:r w:rsidR="002A62B5">
        <w:t>Rochester Fashion Promotion course</w:t>
      </w:r>
      <w:r w:rsidR="00CE1CC7">
        <w:t xml:space="preserve">. </w:t>
      </w:r>
      <w:r w:rsidR="00CC3209">
        <w:t>The Learning Journey is</w:t>
      </w:r>
      <w:r w:rsidR="00AC382A">
        <w:t xml:space="preserve"> a new</w:t>
      </w:r>
      <w:r w:rsidR="00CC3209">
        <w:t xml:space="preserve"> online resource for students</w:t>
      </w:r>
      <w:r w:rsidR="00F474E0">
        <w:t xml:space="preserve">, </w:t>
      </w:r>
      <w:r w:rsidR="00CC3209">
        <w:t xml:space="preserve">which documents all their formative </w:t>
      </w:r>
      <w:proofErr w:type="gramStart"/>
      <w:r w:rsidR="00CC3209">
        <w:t>feedback  in</w:t>
      </w:r>
      <w:proofErr w:type="gramEnd"/>
      <w:r w:rsidR="00CC3209">
        <w:t xml:space="preserve"> </w:t>
      </w:r>
      <w:r w:rsidR="00AC382A">
        <w:t>one place</w:t>
      </w:r>
      <w:r w:rsidR="00CC3209">
        <w:t xml:space="preserve">, </w:t>
      </w:r>
      <w:r w:rsidR="00F474E0">
        <w:t xml:space="preserve">to enable </w:t>
      </w:r>
      <w:r w:rsidR="00AC382A">
        <w:t>more autonomous learning and continuing dialogue between staff and student</w:t>
      </w:r>
      <w:r w:rsidR="00CC3209">
        <w:t xml:space="preserve">.  </w:t>
      </w:r>
      <w:r w:rsidR="002A62B5">
        <w:t>As a result</w:t>
      </w:r>
      <w:r w:rsidR="00CC3209">
        <w:t xml:space="preserve"> of this learning and teaching intervention,</w:t>
      </w:r>
      <w:r w:rsidR="002A62B5">
        <w:t xml:space="preserve"> student satisfaction </w:t>
      </w:r>
      <w:r w:rsidR="00CC3209">
        <w:t xml:space="preserve">has increased </w:t>
      </w:r>
      <w:r w:rsidR="002A62B5">
        <w:t xml:space="preserve">and admin time </w:t>
      </w:r>
      <w:r w:rsidR="00493B95">
        <w:t xml:space="preserve">has </w:t>
      </w:r>
      <w:r w:rsidR="002A62B5">
        <w:t xml:space="preserve">reduced, all providing students and staff with a far richer model of teaching, learning and assessment. </w:t>
      </w:r>
    </w:p>
    <w:p w14:paraId="0499CEF7" w14:textId="357C2950" w:rsidR="002A62B5" w:rsidRDefault="002A62B5" w:rsidP="002A62B5">
      <w:pPr>
        <w:pStyle w:val="Normal1"/>
        <w:spacing w:after="80"/>
      </w:pPr>
    </w:p>
    <w:p w14:paraId="1BA57E73" w14:textId="77777777" w:rsidR="002A62B5" w:rsidRDefault="002A62B5" w:rsidP="002A62B5">
      <w:pPr>
        <w:pStyle w:val="Normal1"/>
        <w:spacing w:after="80" w:line="240" w:lineRule="atLeast"/>
      </w:pPr>
      <w:r>
        <w:rPr>
          <w:rStyle w:val="normalchar1"/>
          <w:color w:val="0000FF"/>
        </w:rPr>
        <w:t>Bibliography:</w:t>
      </w:r>
    </w:p>
    <w:p w14:paraId="36F0B567" w14:textId="77777777" w:rsidR="00C84AD3" w:rsidRDefault="00C84AD3" w:rsidP="002A62B5">
      <w:pPr>
        <w:pStyle w:val="Normal1"/>
        <w:spacing w:after="80"/>
      </w:pPr>
      <w:proofErr w:type="spellStart"/>
      <w:r>
        <w:t>Kleiman</w:t>
      </w:r>
      <w:proofErr w:type="spellEnd"/>
      <w:r>
        <w:t>, Paul. (</w:t>
      </w:r>
      <w:r w:rsidR="00304C52">
        <w:t xml:space="preserve">2005). Beyond the Tingle Factor: creativity and assessment in higher education. </w:t>
      </w:r>
      <w:hyperlink r:id="rId8" w:history="1">
        <w:r w:rsidR="00304C52" w:rsidRPr="00425D1A">
          <w:rPr>
            <w:rStyle w:val="Hyperlink"/>
          </w:rPr>
          <w:t>http://labspace.open.ac.uk/file.php/6691/KLEIMAN_-_Beyond_the_Tingle_Factor.pdf</w:t>
        </w:r>
      </w:hyperlink>
      <w:r w:rsidR="00304C52">
        <w:t xml:space="preserve">  [accessed 6 December 2013]</w:t>
      </w:r>
    </w:p>
    <w:p w14:paraId="4B6C1007" w14:textId="77777777" w:rsidR="00304C52" w:rsidRDefault="00304C52" w:rsidP="002A62B5">
      <w:pPr>
        <w:pStyle w:val="Normal1"/>
        <w:spacing w:after="80"/>
      </w:pPr>
    </w:p>
    <w:p w14:paraId="0BAFADB2" w14:textId="77777777" w:rsidR="002A62B5" w:rsidRDefault="002A62B5" w:rsidP="002A62B5">
      <w:pPr>
        <w:pStyle w:val="Normal1"/>
        <w:spacing w:after="80"/>
      </w:pPr>
      <w:proofErr w:type="spellStart"/>
      <w:r>
        <w:t>Nicol</w:t>
      </w:r>
      <w:proofErr w:type="spellEnd"/>
      <w:r>
        <w:t xml:space="preserve">, D. &amp; Macfarlane-Dick, D. (2006) Rethinking Formative Assessment in HE: a theoretical model and seven principles of good feedback practice. </w:t>
      </w:r>
      <w:proofErr w:type="gramStart"/>
      <w:r>
        <w:t>Studies in Higher Education.</w:t>
      </w:r>
      <w:proofErr w:type="gramEnd"/>
      <w:r>
        <w:t xml:space="preserve"> 31(2), 199-218. Available online at: http://www.heacademy.ac.uk/assets/documents/assessment/web0015_rethinking_formative_assessment_in_he.pdf [accessed 18 July 2013].</w:t>
      </w:r>
    </w:p>
    <w:p w14:paraId="6DA72E46" w14:textId="77777777" w:rsidR="002A62B5" w:rsidRDefault="002A62B5" w:rsidP="002A62B5">
      <w:pPr>
        <w:pStyle w:val="Normal1"/>
        <w:spacing w:after="80"/>
      </w:pPr>
      <w:r>
        <w:t> </w:t>
      </w:r>
    </w:p>
    <w:p w14:paraId="41A71E81" w14:textId="77777777" w:rsidR="002A62B5" w:rsidRDefault="002A62B5" w:rsidP="002A62B5">
      <w:pPr>
        <w:pStyle w:val="Normal1"/>
        <w:spacing w:after="80"/>
      </w:pPr>
      <w:r>
        <w:t xml:space="preserve">Sadler, D. (1989). </w:t>
      </w:r>
      <w:proofErr w:type="gramStart"/>
      <w:r>
        <w:t>Formative assessment and the design of instructional systems.</w:t>
      </w:r>
      <w:proofErr w:type="gramEnd"/>
      <w:r>
        <w:t xml:space="preserve"> Instructional Science. 18, 119-144. Available online at: http:// http://www.michiganassessmentconsortium.org [accessed 18 July 2013]</w:t>
      </w:r>
    </w:p>
    <w:p w14:paraId="434A0411" w14:textId="77777777" w:rsidR="004B5B58" w:rsidRDefault="004B5B58"/>
    <w:sectPr w:rsidR="004B5B58" w:rsidSect="004B5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F4A6B" w14:textId="77777777" w:rsidR="00CE17B9" w:rsidRDefault="00CE17B9" w:rsidP="00053E45">
      <w:pPr>
        <w:spacing w:after="0" w:line="240" w:lineRule="auto"/>
      </w:pPr>
      <w:r>
        <w:separator/>
      </w:r>
    </w:p>
  </w:endnote>
  <w:endnote w:type="continuationSeparator" w:id="0">
    <w:p w14:paraId="51CF773E" w14:textId="77777777" w:rsidR="00CE17B9" w:rsidRDefault="00CE17B9" w:rsidP="0005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AEBC7" w14:textId="77777777" w:rsidR="00CE17B9" w:rsidRDefault="00CE17B9" w:rsidP="00053E45">
      <w:pPr>
        <w:spacing w:after="0" w:line="240" w:lineRule="auto"/>
      </w:pPr>
      <w:r>
        <w:separator/>
      </w:r>
    </w:p>
  </w:footnote>
  <w:footnote w:type="continuationSeparator" w:id="0">
    <w:p w14:paraId="2AFAB61A" w14:textId="77777777" w:rsidR="00CE17B9" w:rsidRDefault="00CE17B9" w:rsidP="00053E45">
      <w:pPr>
        <w:spacing w:after="0" w:line="240" w:lineRule="auto"/>
      </w:pPr>
      <w:r>
        <w:continuationSeparator/>
      </w:r>
    </w:p>
  </w:footnote>
  <w:footnote w:id="1">
    <w:p w14:paraId="2C71E902" w14:textId="77777777" w:rsidR="00CE17B9" w:rsidRDefault="00CE17B9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B5"/>
    <w:rsid w:val="00053E45"/>
    <w:rsid w:val="001061EB"/>
    <w:rsid w:val="001523CD"/>
    <w:rsid w:val="002909A2"/>
    <w:rsid w:val="002A12C4"/>
    <w:rsid w:val="002A62B5"/>
    <w:rsid w:val="00304C52"/>
    <w:rsid w:val="00402947"/>
    <w:rsid w:val="0045317F"/>
    <w:rsid w:val="00493B95"/>
    <w:rsid w:val="004B5B58"/>
    <w:rsid w:val="005271E7"/>
    <w:rsid w:val="005B1C60"/>
    <w:rsid w:val="006B4DE6"/>
    <w:rsid w:val="00734960"/>
    <w:rsid w:val="00761A30"/>
    <w:rsid w:val="008A0CD2"/>
    <w:rsid w:val="009111BC"/>
    <w:rsid w:val="00937A5C"/>
    <w:rsid w:val="00AB57F1"/>
    <w:rsid w:val="00AC382A"/>
    <w:rsid w:val="00C84AD3"/>
    <w:rsid w:val="00CC3209"/>
    <w:rsid w:val="00CE17B9"/>
    <w:rsid w:val="00CE1CC7"/>
    <w:rsid w:val="00D209ED"/>
    <w:rsid w:val="00D27AF9"/>
    <w:rsid w:val="00EA1570"/>
    <w:rsid w:val="00F4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4AB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B57F1"/>
    <w:pPr>
      <w:keepNext/>
      <w:keepLines/>
      <w:spacing w:before="200" w:after="160"/>
      <w:contextualSpacing/>
      <w:outlineLvl w:val="0"/>
    </w:pPr>
    <w:rPr>
      <w:rFonts w:ascii="Trebuchet MS" w:eastAsia="Trebuchet MS" w:hAnsi="Trebuchet MS" w:cs="Trebuchet MS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2A62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lain0020text">
    <w:name w:val="plain_0020text"/>
    <w:basedOn w:val="Normal"/>
    <w:rsid w:val="002A62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rmalchar1">
    <w:name w:val="normal__char1"/>
    <w:basedOn w:val="DefaultParagraphFont"/>
    <w:rsid w:val="002A62B5"/>
    <w:rPr>
      <w:rFonts w:ascii="Arial" w:hAnsi="Arial" w:cs="Arial" w:hint="default"/>
      <w:sz w:val="24"/>
      <w:szCs w:val="24"/>
    </w:rPr>
  </w:style>
  <w:style w:type="character" w:customStyle="1" w:styleId="plain0020textchar1">
    <w:name w:val="plain_0020text__char1"/>
    <w:basedOn w:val="DefaultParagraphFont"/>
    <w:rsid w:val="002A62B5"/>
    <w:rPr>
      <w:rFonts w:ascii="Calibri" w:hAnsi="Calibri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04C52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3E4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3E4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53E4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3E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3E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3E45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AB57F1"/>
    <w:rPr>
      <w:rFonts w:ascii="Trebuchet MS" w:eastAsia="Trebuchet MS" w:hAnsi="Trebuchet MS" w:cs="Trebuchet MS"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B57F1"/>
    <w:pPr>
      <w:keepNext/>
      <w:keepLines/>
      <w:spacing w:before="200" w:after="160"/>
      <w:contextualSpacing/>
      <w:outlineLvl w:val="0"/>
    </w:pPr>
    <w:rPr>
      <w:rFonts w:ascii="Trebuchet MS" w:eastAsia="Trebuchet MS" w:hAnsi="Trebuchet MS" w:cs="Trebuchet MS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2A62B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lain0020text">
    <w:name w:val="plain_0020text"/>
    <w:basedOn w:val="Normal"/>
    <w:rsid w:val="002A62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rmalchar1">
    <w:name w:val="normal__char1"/>
    <w:basedOn w:val="DefaultParagraphFont"/>
    <w:rsid w:val="002A62B5"/>
    <w:rPr>
      <w:rFonts w:ascii="Arial" w:hAnsi="Arial" w:cs="Arial" w:hint="default"/>
      <w:sz w:val="24"/>
      <w:szCs w:val="24"/>
    </w:rPr>
  </w:style>
  <w:style w:type="character" w:customStyle="1" w:styleId="plain0020textchar1">
    <w:name w:val="plain_0020text__char1"/>
    <w:basedOn w:val="DefaultParagraphFont"/>
    <w:rsid w:val="002A62B5"/>
    <w:rPr>
      <w:rFonts w:ascii="Calibri" w:hAnsi="Calibri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04C52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3E4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3E4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53E4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3E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3E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3E45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AB57F1"/>
    <w:rPr>
      <w:rFonts w:ascii="Trebuchet MS" w:eastAsia="Trebuchet MS" w:hAnsi="Trebuchet MS" w:cs="Trebuchet MS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67040">
      <w:bodyDiv w:val="1"/>
      <w:marLeft w:val="1440"/>
      <w:marRight w:val="1440"/>
      <w:marTop w:val="56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labspace.open.ac.uk/file.php/6691/KLEIMAN_-_Beyond_the_Tingle_Factor.pdf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9F76D-C879-5C46-B1CD-719D23A7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2871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amckie</dc:creator>
  <cp:keywords/>
  <dc:description/>
  <cp:lastModifiedBy>Maria Tannant</cp:lastModifiedBy>
  <cp:revision>3</cp:revision>
  <dcterms:created xsi:type="dcterms:W3CDTF">2014-01-30T12:10:00Z</dcterms:created>
  <dcterms:modified xsi:type="dcterms:W3CDTF">2014-03-12T09:29:00Z</dcterms:modified>
</cp:coreProperties>
</file>